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2B" w:rsidRPr="00074719" w:rsidRDefault="00450E2B" w:rsidP="00450E2B">
      <w:pPr>
        <w:jc w:val="right"/>
        <w:rPr>
          <w:rStyle w:val="Strong"/>
          <w:rFonts w:ascii="Times New Roman" w:hAnsi="Times New Roman" w:cs="Times New Roman"/>
          <w:b w:val="0"/>
          <w:sz w:val="24"/>
          <w:szCs w:val="24"/>
          <w:lang w:val="lv-LV"/>
        </w:rPr>
      </w:pPr>
      <w:r w:rsidRPr="00074719">
        <w:rPr>
          <w:rStyle w:val="Strong"/>
          <w:rFonts w:ascii="Times New Roman" w:hAnsi="Times New Roman" w:cs="Times New Roman"/>
          <w:b w:val="0"/>
          <w:sz w:val="24"/>
          <w:szCs w:val="24"/>
          <w:lang w:val="lv-LV"/>
        </w:rPr>
        <w:t>Pielikums Nr.1</w:t>
      </w:r>
    </w:p>
    <w:p w:rsidR="00450E2B" w:rsidRPr="00074719" w:rsidRDefault="00450E2B" w:rsidP="00450E2B">
      <w:pPr>
        <w:jc w:val="right"/>
        <w:rPr>
          <w:rStyle w:val="Strong"/>
          <w:rFonts w:ascii="Times New Roman" w:hAnsi="Times New Roman" w:cs="Times New Roman"/>
          <w:b w:val="0"/>
          <w:sz w:val="24"/>
          <w:szCs w:val="24"/>
          <w:lang w:val="lv-LV"/>
        </w:rPr>
      </w:pPr>
    </w:p>
    <w:p w:rsidR="00450E2B" w:rsidRPr="00074719" w:rsidRDefault="00450E2B" w:rsidP="00450E2B">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color w:val="000000"/>
          <w:sz w:val="24"/>
          <w:szCs w:val="24"/>
          <w:u w:val="single"/>
          <w:lang w:val="lv-LV" w:eastAsia="ru-RU"/>
        </w:rPr>
        <w:t>PSIA "SPK" elektroenerģijas sadales sistēmas tarifi  (bez PVN)</w:t>
      </w:r>
    </w:p>
    <w:tbl>
      <w:tblPr>
        <w:tblStyle w:val="TableGrid"/>
        <w:tblpPr w:leftFromText="180" w:rightFromText="180" w:vertAnchor="text" w:tblpY="1"/>
        <w:tblOverlap w:val="never"/>
        <w:tblW w:w="0" w:type="auto"/>
        <w:tblLook w:val="04A0" w:firstRow="1" w:lastRow="0" w:firstColumn="1" w:lastColumn="0" w:noHBand="0" w:noVBand="1"/>
      </w:tblPr>
      <w:tblGrid>
        <w:gridCol w:w="3331"/>
        <w:gridCol w:w="1430"/>
        <w:gridCol w:w="1221"/>
        <w:gridCol w:w="1110"/>
        <w:gridCol w:w="1245"/>
        <w:gridCol w:w="1008"/>
      </w:tblGrid>
      <w:tr w:rsidR="00450E2B" w:rsidRPr="00074719" w:rsidTr="00E3742D">
        <w:tc>
          <w:tcPr>
            <w:tcW w:w="3936" w:type="dxa"/>
            <w:vMerge w:val="restart"/>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Tarifa veids</w:t>
            </w:r>
          </w:p>
        </w:tc>
        <w:tc>
          <w:tcPr>
            <w:tcW w:w="1370" w:type="dxa"/>
            <w:vMerge w:val="restart"/>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sz w:val="24"/>
                <w:szCs w:val="24"/>
                <w:lang w:val="lv-LV" w:eastAsia="ru-RU"/>
              </w:rPr>
              <w:t>Mērvienība</w:t>
            </w:r>
          </w:p>
        </w:tc>
        <w:tc>
          <w:tcPr>
            <w:tcW w:w="4746" w:type="dxa"/>
            <w:gridSpan w:val="4"/>
          </w:tcPr>
          <w:p w:rsidR="00450E2B" w:rsidRPr="00074719" w:rsidRDefault="00450E2B" w:rsidP="00E3742D">
            <w:pPr>
              <w:jc w:val="center"/>
              <w:rPr>
                <w:rStyle w:val="Strong"/>
                <w:rFonts w:ascii="Times New Roman" w:hAnsi="Times New Roman" w:cs="Times New Roman"/>
                <w:sz w:val="24"/>
                <w:szCs w:val="24"/>
                <w:lang w:val="lv-LV"/>
              </w:rPr>
            </w:pPr>
            <w:r w:rsidRPr="00074719">
              <w:rPr>
                <w:rStyle w:val="Strong"/>
                <w:rFonts w:ascii="Times New Roman" w:hAnsi="Times New Roman" w:cs="Times New Roman"/>
                <w:sz w:val="24"/>
                <w:szCs w:val="24"/>
                <w:lang w:val="lv-LV"/>
              </w:rPr>
              <w:t>Pieslēguma spriegums un vieta</w:t>
            </w:r>
          </w:p>
        </w:tc>
      </w:tr>
      <w:tr w:rsidR="00450E2B" w:rsidRPr="00074719" w:rsidTr="00E3742D">
        <w:trPr>
          <w:trHeight w:val="562"/>
        </w:trPr>
        <w:tc>
          <w:tcPr>
            <w:tcW w:w="3936" w:type="dxa"/>
            <w:vMerge/>
            <w:tcBorders>
              <w:bottom w:val="single" w:sz="4" w:space="0" w:color="auto"/>
            </w:tcBorders>
          </w:tcPr>
          <w:p w:rsidR="00450E2B" w:rsidRPr="00074719" w:rsidRDefault="00450E2B" w:rsidP="00E3742D">
            <w:pPr>
              <w:rPr>
                <w:rStyle w:val="Strong"/>
                <w:rFonts w:ascii="Times New Roman" w:hAnsi="Times New Roman" w:cs="Times New Roman"/>
                <w:b w:val="0"/>
                <w:sz w:val="24"/>
                <w:szCs w:val="24"/>
                <w:lang w:val="lv-LV"/>
              </w:rPr>
            </w:pPr>
          </w:p>
        </w:tc>
        <w:tc>
          <w:tcPr>
            <w:tcW w:w="1370" w:type="dxa"/>
            <w:vMerge/>
            <w:tcBorders>
              <w:bottom w:val="single" w:sz="4" w:space="0" w:color="auto"/>
            </w:tcBorders>
          </w:tcPr>
          <w:p w:rsidR="00450E2B" w:rsidRPr="00074719" w:rsidRDefault="00450E2B" w:rsidP="00E3742D">
            <w:pPr>
              <w:rPr>
                <w:rStyle w:val="Strong"/>
                <w:rFonts w:ascii="Times New Roman" w:hAnsi="Times New Roman" w:cs="Times New Roman"/>
                <w:b w:val="0"/>
                <w:sz w:val="24"/>
                <w:szCs w:val="24"/>
                <w:lang w:val="lv-LV"/>
              </w:rPr>
            </w:pPr>
          </w:p>
        </w:tc>
        <w:tc>
          <w:tcPr>
            <w:tcW w:w="1323" w:type="dxa"/>
            <w:tcBorders>
              <w:bottom w:val="single" w:sz="4" w:space="0" w:color="auto"/>
            </w:tcBorders>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0,4kV</w:t>
            </w:r>
          </w:p>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līnijas</w:t>
            </w:r>
          </w:p>
        </w:tc>
        <w:tc>
          <w:tcPr>
            <w:tcW w:w="1134" w:type="dxa"/>
            <w:tcBorders>
              <w:bottom w:val="single" w:sz="4" w:space="0" w:color="auto"/>
            </w:tcBorders>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0,4kV</w:t>
            </w:r>
          </w:p>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kopnes*</w:t>
            </w:r>
          </w:p>
        </w:tc>
        <w:tc>
          <w:tcPr>
            <w:tcW w:w="1276" w:type="dxa"/>
            <w:tcBorders>
              <w:bottom w:val="single" w:sz="4" w:space="0" w:color="auto"/>
            </w:tcBorders>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kopnes**</w:t>
            </w:r>
          </w:p>
        </w:tc>
        <w:tc>
          <w:tcPr>
            <w:tcW w:w="1013" w:type="dxa"/>
            <w:tcBorders>
              <w:bottom w:val="single" w:sz="4" w:space="0" w:color="auto"/>
            </w:tcBorders>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10kV</w:t>
            </w:r>
          </w:p>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līnijas</w:t>
            </w:r>
          </w:p>
        </w:tc>
      </w:tr>
      <w:tr w:rsidR="00450E2B" w:rsidRPr="00074719" w:rsidTr="00E3742D">
        <w:tc>
          <w:tcPr>
            <w:tcW w:w="10052" w:type="dxa"/>
            <w:gridSpan w:val="6"/>
            <w:vAlign w:val="bottom"/>
          </w:tcPr>
          <w:p w:rsidR="00450E2B" w:rsidRPr="00074719" w:rsidRDefault="00450E2B" w:rsidP="00E3742D">
            <w:pPr>
              <w:rPr>
                <w:rStyle w:val="Strong"/>
                <w:rFonts w:ascii="Times New Roman" w:hAnsi="Times New Roman" w:cs="Times New Roman"/>
                <w:b w:val="0"/>
                <w:sz w:val="24"/>
                <w:szCs w:val="24"/>
                <w:lang w:val="lv-LV"/>
              </w:rPr>
            </w:pPr>
            <w:r w:rsidRPr="00074719">
              <w:rPr>
                <w:rFonts w:ascii="Times New Roman" w:eastAsia="Times New Roman" w:hAnsi="Times New Roman" w:cs="Times New Roman"/>
                <w:b/>
                <w:bCs/>
                <w:sz w:val="24"/>
                <w:szCs w:val="24"/>
                <w:lang w:val="lv-LV" w:eastAsia="ru-RU"/>
              </w:rPr>
              <w:t>S-6 (viena laika zona)</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Abonēšanas maksa</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1.44</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1.78</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8.25</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Maksa par atļauto slodzi</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134" w:type="dxa"/>
          </w:tcPr>
          <w:p w:rsidR="00450E2B" w:rsidRPr="00074719" w:rsidRDefault="00450E2B" w:rsidP="00E3742D">
            <w:pPr>
              <w:jc w:val="center"/>
              <w:rPr>
                <w:rStyle w:val="Strong"/>
                <w:rFonts w:ascii="Times New Roman" w:hAnsi="Times New Roman" w:cs="Times New Roman"/>
                <w:b w:val="0"/>
                <w:sz w:val="24"/>
                <w:szCs w:val="24"/>
                <w:lang w:val="lv-LV"/>
              </w:rPr>
            </w:pPr>
          </w:p>
        </w:tc>
        <w:tc>
          <w:tcPr>
            <w:tcW w:w="1276" w:type="dxa"/>
          </w:tcPr>
          <w:p w:rsidR="00450E2B" w:rsidRPr="00074719" w:rsidRDefault="00450E2B" w:rsidP="00E3742D">
            <w:pPr>
              <w:rPr>
                <w:rStyle w:val="Strong"/>
                <w:rFonts w:ascii="Times New Roman" w:hAnsi="Times New Roman" w:cs="Times New Roman"/>
                <w:b w:val="0"/>
                <w:sz w:val="24"/>
                <w:szCs w:val="24"/>
                <w:lang w:val="lv-LV"/>
              </w:rPr>
            </w:pP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0.43</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Maksa par ievadaizsardzības aparāta strāvas lielumu</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EUR/A</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0.27</w:t>
            </w:r>
          </w:p>
        </w:tc>
        <w:tc>
          <w:tcPr>
            <w:tcW w:w="1134" w:type="dxa"/>
          </w:tcPr>
          <w:p w:rsidR="00450E2B" w:rsidRPr="00074719" w:rsidRDefault="00450E2B" w:rsidP="00E3742D">
            <w:pPr>
              <w:jc w:val="center"/>
              <w:rPr>
                <w:rFonts w:ascii="Times New Roman" w:eastAsia="Times New Roman" w:hAnsi="Times New Roman" w:cs="Times New Roman"/>
                <w:sz w:val="24"/>
                <w:szCs w:val="24"/>
                <w:lang w:val="lv-LV" w:eastAsia="ru-RU"/>
              </w:rPr>
            </w:pPr>
          </w:p>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sz w:val="24"/>
                <w:szCs w:val="24"/>
                <w:lang w:val="lv-LV" w:eastAsia="ru-RU"/>
              </w:rPr>
              <w:t>0.27</w:t>
            </w:r>
          </w:p>
        </w:tc>
        <w:tc>
          <w:tcPr>
            <w:tcW w:w="1276" w:type="dxa"/>
          </w:tcPr>
          <w:p w:rsidR="00450E2B" w:rsidRPr="00074719" w:rsidRDefault="00450E2B" w:rsidP="00E3742D">
            <w:pPr>
              <w:rPr>
                <w:rStyle w:val="Strong"/>
                <w:rFonts w:ascii="Times New Roman" w:hAnsi="Times New Roman" w:cs="Times New Roman"/>
                <w:b w:val="0"/>
                <w:sz w:val="24"/>
                <w:szCs w:val="24"/>
                <w:lang w:val="lv-LV"/>
              </w:rPr>
            </w:pPr>
          </w:p>
        </w:tc>
        <w:tc>
          <w:tcPr>
            <w:tcW w:w="1013" w:type="dxa"/>
          </w:tcPr>
          <w:p w:rsidR="00450E2B" w:rsidRPr="00074719" w:rsidRDefault="00450E2B" w:rsidP="00E3742D">
            <w:pPr>
              <w:rPr>
                <w:rStyle w:val="Strong"/>
                <w:rFonts w:ascii="Times New Roman" w:hAnsi="Times New Roman" w:cs="Times New Roman"/>
                <w:b w:val="0"/>
                <w:sz w:val="24"/>
                <w:szCs w:val="24"/>
                <w:lang w:val="lv-LV"/>
              </w:rPr>
            </w:pP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Maksa par elektroenerģijas sadalīšanu</w:t>
            </w:r>
          </w:p>
        </w:tc>
        <w:tc>
          <w:tcPr>
            <w:tcW w:w="1370" w:type="dxa"/>
          </w:tcPr>
          <w:p w:rsidR="00450E2B" w:rsidRPr="00074719" w:rsidRDefault="00450E2B" w:rsidP="00E3742D">
            <w:pPr>
              <w:jc w:val="center"/>
              <w:rPr>
                <w:rStyle w:val="Strong"/>
                <w:rFonts w:ascii="Times New Roman" w:hAnsi="Times New Roman" w:cs="Times New Roman"/>
                <w:b w:val="0"/>
                <w:sz w:val="24"/>
                <w:szCs w:val="24"/>
                <w:lang w:val="lv-LV"/>
              </w:rPr>
            </w:pPr>
            <w:r w:rsidRPr="00074719">
              <w:rPr>
                <w:rFonts w:ascii="Times New Roman" w:eastAsia="Times New Roman" w:hAnsi="Times New Roman" w:cs="Times New Roman"/>
                <w:sz w:val="24"/>
                <w:szCs w:val="24"/>
                <w:lang w:val="lv-LV" w:eastAsia="ru-RU"/>
              </w:rPr>
              <w:t>EUR/kWh</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0.0499</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0.0401</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0.0244</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Obligātā iepirkuma komponentes</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EUR/kWh</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r>
      <w:tr w:rsidR="00450E2B" w:rsidRPr="00074719" w:rsidTr="00E3742D">
        <w:tc>
          <w:tcPr>
            <w:tcW w:w="10052" w:type="dxa"/>
            <w:gridSpan w:val="6"/>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b/>
                <w:bCs/>
                <w:sz w:val="24"/>
                <w:szCs w:val="24"/>
                <w:lang w:val="lv-LV" w:eastAsia="ru-RU"/>
              </w:rPr>
              <w:t>S-8 (trīs laika zonas)</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Abonēšanas maksa</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1.44</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1.78</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1.78</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8.25</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Maksa par atļauto slodzi</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0.43</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Maksa par ievadaizsardzības aparāta strāvas lielumu</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EUR/A</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0.27</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0.27</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0.27</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maksimumstundās (T1)</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EUR/kWh</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0.07662</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0.05504</w:t>
            </w:r>
          </w:p>
        </w:tc>
        <w:tc>
          <w:tcPr>
            <w:tcW w:w="1276" w:type="dxa"/>
            <w:vAlign w:val="bottom"/>
          </w:tcPr>
          <w:p w:rsidR="00450E2B" w:rsidRPr="00074719" w:rsidRDefault="00450E2B" w:rsidP="00E3742D">
            <w:pPr>
              <w:jc w:val="right"/>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0.05262</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0.03654</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dienas zonā (T2)</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EUR/kWh</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0.0591</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0.04152</w:t>
            </w:r>
          </w:p>
        </w:tc>
        <w:tc>
          <w:tcPr>
            <w:tcW w:w="1276" w:type="dxa"/>
            <w:vAlign w:val="bottom"/>
          </w:tcPr>
          <w:p w:rsidR="00450E2B" w:rsidRPr="00074719" w:rsidRDefault="00450E2B" w:rsidP="00E3742D">
            <w:pPr>
              <w:jc w:val="right"/>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0.04049</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0.02807</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 xml:space="preserve"> nakts zonā un nedēļas nogalē (T4)</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EUR/kWh</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0.0357</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0.02544</w:t>
            </w:r>
          </w:p>
        </w:tc>
        <w:tc>
          <w:tcPr>
            <w:tcW w:w="1276" w:type="dxa"/>
            <w:vAlign w:val="bottom"/>
          </w:tcPr>
          <w:p w:rsidR="00450E2B" w:rsidRPr="00074719" w:rsidRDefault="00450E2B" w:rsidP="00E3742D">
            <w:pPr>
              <w:jc w:val="right"/>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0.02433</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0.01676</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Obligātā iepirkuma komponentes</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EUR/kWh</w:t>
            </w:r>
          </w:p>
        </w:tc>
        <w:tc>
          <w:tcPr>
            <w:tcW w:w="1323"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c>
          <w:tcPr>
            <w:tcW w:w="1134"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c>
          <w:tcPr>
            <w:tcW w:w="1276"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0.0269</w:t>
            </w:r>
          </w:p>
        </w:tc>
      </w:tr>
      <w:tr w:rsidR="00450E2B" w:rsidRPr="00074719" w:rsidTr="00E3742D">
        <w:tc>
          <w:tcPr>
            <w:tcW w:w="3936" w:type="dxa"/>
            <w:vAlign w:val="bottom"/>
          </w:tcPr>
          <w:p w:rsidR="00450E2B" w:rsidRPr="00074719" w:rsidRDefault="00450E2B" w:rsidP="00E3742D">
            <w:pP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par 0.4(cos φ &lt;0,929) un atjautā slodze  100kW  un lielāka</w:t>
            </w:r>
          </w:p>
        </w:tc>
        <w:tc>
          <w:tcPr>
            <w:tcW w:w="1370" w:type="dxa"/>
            <w:vAlign w:val="bottom"/>
          </w:tcPr>
          <w:p w:rsidR="00450E2B" w:rsidRPr="00074719" w:rsidRDefault="00450E2B" w:rsidP="00E3742D">
            <w:pPr>
              <w:jc w:val="center"/>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EUR/kVArh</w:t>
            </w:r>
          </w:p>
        </w:tc>
        <w:tc>
          <w:tcPr>
            <w:tcW w:w="1323" w:type="dxa"/>
            <w:vAlign w:val="bottom"/>
          </w:tcPr>
          <w:p w:rsidR="00450E2B" w:rsidRPr="00074719" w:rsidRDefault="00450E2B" w:rsidP="00E3742D">
            <w:pPr>
              <w:jc w:val="right"/>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0.0043</w:t>
            </w:r>
          </w:p>
        </w:tc>
        <w:tc>
          <w:tcPr>
            <w:tcW w:w="1134" w:type="dxa"/>
            <w:vAlign w:val="bottom"/>
          </w:tcPr>
          <w:p w:rsidR="00450E2B" w:rsidRPr="00074719" w:rsidRDefault="00450E2B" w:rsidP="00E3742D">
            <w:pPr>
              <w:jc w:val="right"/>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0.0043</w:t>
            </w:r>
          </w:p>
        </w:tc>
        <w:tc>
          <w:tcPr>
            <w:tcW w:w="1276" w:type="dxa"/>
            <w:vAlign w:val="bottom"/>
          </w:tcPr>
          <w:p w:rsidR="00450E2B" w:rsidRPr="00074719" w:rsidRDefault="00450E2B" w:rsidP="00E3742D">
            <w:pPr>
              <w:jc w:val="right"/>
              <w:rPr>
                <w:rFonts w:ascii="Times New Roman" w:eastAsia="Times New Roman" w:hAnsi="Times New Roman" w:cs="Times New Roman"/>
                <w:sz w:val="24"/>
                <w:szCs w:val="24"/>
                <w:lang w:val="lv-LV" w:eastAsia="ru-RU"/>
              </w:rPr>
            </w:pPr>
            <w:r w:rsidRPr="00074719">
              <w:rPr>
                <w:rFonts w:ascii="Times New Roman" w:eastAsia="Times New Roman" w:hAnsi="Times New Roman" w:cs="Times New Roman"/>
                <w:sz w:val="24"/>
                <w:szCs w:val="24"/>
                <w:lang w:val="lv-LV" w:eastAsia="ru-RU"/>
              </w:rPr>
              <w:t>0.0043</w:t>
            </w:r>
          </w:p>
        </w:tc>
        <w:tc>
          <w:tcPr>
            <w:tcW w:w="1013" w:type="dxa"/>
            <w:vAlign w:val="bottom"/>
          </w:tcPr>
          <w:p w:rsidR="00450E2B" w:rsidRPr="00074719" w:rsidRDefault="00450E2B" w:rsidP="00E3742D">
            <w:pPr>
              <w:rPr>
                <w:rFonts w:ascii="Times New Roman" w:eastAsia="Times New Roman" w:hAnsi="Times New Roman" w:cs="Times New Roman"/>
                <w:sz w:val="24"/>
                <w:szCs w:val="24"/>
                <w:lang w:val="lv-LV" w:eastAsia="ru-RU"/>
              </w:rPr>
            </w:pPr>
          </w:p>
        </w:tc>
      </w:tr>
    </w:tbl>
    <w:p w:rsidR="00450E2B" w:rsidRPr="00074719" w:rsidRDefault="00450E2B" w:rsidP="00450E2B">
      <w:pPr>
        <w:spacing w:after="0" w:line="240" w:lineRule="auto"/>
        <w:rPr>
          <w:rStyle w:val="Strong"/>
          <w:rFonts w:ascii="Times New Roman" w:hAnsi="Times New Roman" w:cs="Times New Roman"/>
          <w:b w:val="0"/>
          <w:sz w:val="24"/>
          <w:szCs w:val="24"/>
          <w:lang w:val="lv-LV"/>
        </w:rPr>
      </w:pPr>
    </w:p>
    <w:p w:rsidR="00450E2B" w:rsidRPr="00074719" w:rsidRDefault="00450E2B" w:rsidP="00450E2B">
      <w:pPr>
        <w:spacing w:after="0" w:line="240" w:lineRule="auto"/>
        <w:rPr>
          <w:rFonts w:ascii="Times New Roman" w:eastAsia="Times New Roman" w:hAnsi="Times New Roman" w:cs="Times New Roman"/>
          <w:i/>
          <w:iCs/>
          <w:color w:val="000000"/>
          <w:sz w:val="24"/>
          <w:szCs w:val="24"/>
          <w:lang w:val="lv-LV" w:eastAsia="ru-RU"/>
        </w:rPr>
      </w:pPr>
      <w:r w:rsidRPr="00074719">
        <w:rPr>
          <w:rStyle w:val="Strong"/>
          <w:rFonts w:ascii="Times New Roman" w:hAnsi="Times New Roman" w:cs="Times New Roman"/>
          <w:b w:val="0"/>
          <w:sz w:val="24"/>
          <w:szCs w:val="24"/>
          <w:lang w:val="lv-LV"/>
        </w:rPr>
        <w:br w:type="textWrapping" w:clear="all"/>
      </w:r>
      <w:r w:rsidRPr="00074719">
        <w:rPr>
          <w:rFonts w:ascii="Times New Roman" w:eastAsia="Times New Roman" w:hAnsi="Times New Roman" w:cs="Times New Roman"/>
          <w:b/>
          <w:i/>
          <w:iCs/>
          <w:color w:val="000000"/>
          <w:sz w:val="24"/>
          <w:szCs w:val="24"/>
          <w:lang w:val="lv-LV" w:eastAsia="ru-RU"/>
        </w:rPr>
        <w:t>*</w:t>
      </w:r>
      <w:r w:rsidRPr="00074719">
        <w:rPr>
          <w:rFonts w:ascii="Times New Roman" w:eastAsia="Times New Roman" w:hAnsi="Times New Roman" w:cs="Times New Roman"/>
          <w:i/>
          <w:iCs/>
          <w:color w:val="000000"/>
          <w:sz w:val="24"/>
          <w:szCs w:val="24"/>
          <w:lang w:val="lv-LV" w:eastAsia="ru-RU"/>
        </w:rPr>
        <w:t xml:space="preserve"> Lietotājiem ar ievadaizsardzības aparāta strāvas lielumu līdz 600A</w:t>
      </w:r>
    </w:p>
    <w:p w:rsidR="00450E2B" w:rsidRPr="00074719" w:rsidRDefault="00450E2B" w:rsidP="00450E2B">
      <w:pPr>
        <w:spacing w:after="0" w:line="240" w:lineRule="auto"/>
        <w:rPr>
          <w:rFonts w:ascii="Times New Roman" w:eastAsia="Times New Roman" w:hAnsi="Times New Roman" w:cs="Times New Roman"/>
          <w:i/>
          <w:iCs/>
          <w:color w:val="000000"/>
          <w:sz w:val="24"/>
          <w:szCs w:val="24"/>
          <w:lang w:val="lv-LV" w:eastAsia="ru-RU"/>
        </w:rPr>
      </w:pPr>
      <w:r w:rsidRPr="00074719">
        <w:rPr>
          <w:rFonts w:ascii="Times New Roman" w:eastAsia="Times New Roman" w:hAnsi="Times New Roman" w:cs="Times New Roman"/>
          <w:b/>
          <w:i/>
          <w:iCs/>
          <w:color w:val="000000"/>
          <w:sz w:val="24"/>
          <w:szCs w:val="24"/>
          <w:lang w:val="lv-LV" w:eastAsia="ru-RU"/>
        </w:rPr>
        <w:t xml:space="preserve">** </w:t>
      </w:r>
      <w:r w:rsidRPr="00074719">
        <w:rPr>
          <w:rFonts w:ascii="Times New Roman" w:eastAsia="Times New Roman" w:hAnsi="Times New Roman" w:cs="Times New Roman"/>
          <w:i/>
          <w:iCs/>
          <w:color w:val="000000"/>
          <w:sz w:val="24"/>
          <w:szCs w:val="24"/>
          <w:lang w:val="lv-LV" w:eastAsia="ru-RU"/>
        </w:rPr>
        <w:t>Lietotājiem ar ievadaizsardzības aparāta strāvas lielumu no 600A</w:t>
      </w:r>
    </w:p>
    <w:p w:rsidR="00450E2B" w:rsidRPr="00074719" w:rsidRDefault="00450E2B" w:rsidP="00450E2B">
      <w:pPr>
        <w:spacing w:after="0" w:line="240" w:lineRule="auto"/>
        <w:rPr>
          <w:rFonts w:ascii="Times New Roman" w:eastAsia="Times New Roman" w:hAnsi="Times New Roman" w:cs="Times New Roman"/>
          <w:i/>
          <w:iCs/>
          <w:color w:val="000000"/>
          <w:sz w:val="24"/>
          <w:szCs w:val="24"/>
          <w:lang w:val="lv-LV" w:eastAsia="ru-RU"/>
        </w:rPr>
      </w:pP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Skaidrojums par laika zonas diferencēto tarifu pielietošanu:</w:t>
      </w: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Pie trīs laika zonu tarifa (S8):</w:t>
      </w: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Dienas zona - darba dienās no 7.00 līdz 8.00, no 10:00 līdz 17.00 un no 20.00 līdz 23.00,</w:t>
      </w: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Maksimumstundu zona - darba dienās no 8.00 līdz 10.00 un no 17.00 līdz 20.00,</w:t>
      </w: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Nakts zona un nedēļas nogales zona   - darba dienās no 23.00 līdz 7.00, sestdienās, svētdienās - visu diennakti.</w:t>
      </w: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Elektroenerģijas obligātais iepirkums ir valsts noteikts atbalsta mehānisms elektroenerģijas ražotājiem, paredzot tā finansēšanu no elektroenerģijas galalietotāju maksājumiem.</w:t>
      </w:r>
    </w:p>
    <w:p w:rsidR="00450E2B" w:rsidRPr="00074719" w:rsidRDefault="00450E2B" w:rsidP="00450E2B">
      <w:pPr>
        <w:spacing w:after="0" w:line="240" w:lineRule="auto"/>
        <w:jc w:val="both"/>
        <w:rPr>
          <w:rFonts w:ascii="Times New Roman" w:eastAsia="Times New Roman" w:hAnsi="Times New Roman" w:cs="Times New Roman"/>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Elektroenerģijas tirgus likums nosaka, ka ražotāji, kuri elektroenerģiju ražo efektīvā koģenerācijā vai elektroenerģijas ražošanai izmanto atjaunojamos energoresursus, var iegūt tiesības pārdot saražoto elektroenerģiju obligātā iepirkuma ietvaros</w:t>
      </w:r>
    </w:p>
    <w:p w:rsidR="00450E2B" w:rsidRPr="003A73B4" w:rsidRDefault="00450E2B" w:rsidP="003A73B4">
      <w:pPr>
        <w:spacing w:after="0" w:line="240" w:lineRule="auto"/>
        <w:jc w:val="both"/>
        <w:rPr>
          <w:rStyle w:val="Strong"/>
          <w:rFonts w:ascii="Times New Roman" w:eastAsia="Times New Roman" w:hAnsi="Times New Roman" w:cs="Times New Roman"/>
          <w:b w:val="0"/>
          <w:color w:val="000000"/>
          <w:sz w:val="24"/>
          <w:szCs w:val="24"/>
          <w:lang w:val="lv-LV" w:eastAsia="ru-RU"/>
        </w:rPr>
      </w:pPr>
      <w:r w:rsidRPr="00074719">
        <w:rPr>
          <w:rFonts w:ascii="Times New Roman" w:eastAsia="Times New Roman" w:hAnsi="Times New Roman" w:cs="Times New Roman"/>
          <w:color w:val="000000"/>
          <w:sz w:val="24"/>
          <w:szCs w:val="24"/>
          <w:lang w:val="lv-LV" w:eastAsia="ru-RU"/>
        </w:rPr>
        <w:t>Gada sākumā publiskais tirgotājs iesniedz regulatoram atskaiti par obligātajā iepirkumā iepirkto elektroenerģiju iepriekšējā kalendārajā gadā un aprēķina maksu EUR par kilovatstundu, kas jāsedz elektroenerģijas galalietotājiem proporcionāli savam elektroenerģijas patēriņam kā obligātā iepirkuma komponentes. No 2014.gada 1.aprīļa apstiprinātās obligātā iepirkuma komponentes galalietotājiem kopā veido 0,0269 EUR/kWh.</w:t>
      </w:r>
      <w:bookmarkStart w:id="0" w:name="_GoBack"/>
      <w:bookmarkEnd w:id="0"/>
    </w:p>
    <w:sectPr w:rsidR="00450E2B" w:rsidRPr="003A73B4" w:rsidSect="0008325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D5"/>
    <w:rsid w:val="000148FE"/>
    <w:rsid w:val="00063E0B"/>
    <w:rsid w:val="00074719"/>
    <w:rsid w:val="0008325D"/>
    <w:rsid w:val="000C485F"/>
    <w:rsid w:val="00126280"/>
    <w:rsid w:val="001355B1"/>
    <w:rsid w:val="00142516"/>
    <w:rsid w:val="00175D4F"/>
    <w:rsid w:val="00192ADF"/>
    <w:rsid w:val="00216EC3"/>
    <w:rsid w:val="00367114"/>
    <w:rsid w:val="00374BD4"/>
    <w:rsid w:val="003A73B4"/>
    <w:rsid w:val="003D5E6A"/>
    <w:rsid w:val="00450E2B"/>
    <w:rsid w:val="00485E05"/>
    <w:rsid w:val="004A3A2B"/>
    <w:rsid w:val="00552633"/>
    <w:rsid w:val="005A2E00"/>
    <w:rsid w:val="005B4BAE"/>
    <w:rsid w:val="0060778A"/>
    <w:rsid w:val="006B3731"/>
    <w:rsid w:val="007D33C9"/>
    <w:rsid w:val="008B137C"/>
    <w:rsid w:val="009C4605"/>
    <w:rsid w:val="00A7001B"/>
    <w:rsid w:val="00B17D89"/>
    <w:rsid w:val="00B55CD5"/>
    <w:rsid w:val="00C074FB"/>
    <w:rsid w:val="00C25A3A"/>
    <w:rsid w:val="00C42A03"/>
    <w:rsid w:val="00CE1293"/>
    <w:rsid w:val="00E24063"/>
    <w:rsid w:val="00EF76F3"/>
    <w:rsid w:val="00F0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4069A-C914-4364-9807-CD4F9434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5D"/>
  </w:style>
  <w:style w:type="paragraph" w:styleId="Heading1">
    <w:name w:val="heading 1"/>
    <w:basedOn w:val="Normal"/>
    <w:next w:val="Normal"/>
    <w:link w:val="Heading1Char"/>
    <w:uiPriority w:val="9"/>
    <w:qFormat/>
    <w:rsid w:val="00074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74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B3731"/>
    <w:rPr>
      <w:b/>
    </w:rPr>
  </w:style>
  <w:style w:type="paragraph" w:styleId="NormalWeb">
    <w:name w:val="Normal (Web)"/>
    <w:basedOn w:val="Normal"/>
    <w:uiPriority w:val="99"/>
    <w:semiHidden/>
    <w:unhideWhenUsed/>
    <w:rsid w:val="00126280"/>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Default">
    <w:name w:val="Default"/>
    <w:rsid w:val="00F02E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5A3A"/>
    <w:rPr>
      <w:strike w:val="0"/>
      <w:dstrike w:val="0"/>
      <w:color w:val="606060"/>
      <w:u w:val="none"/>
      <w:effect w:val="none"/>
    </w:rPr>
  </w:style>
  <w:style w:type="table" w:styleId="TableGrid">
    <w:name w:val="Table Grid"/>
    <w:basedOn w:val="TableNormal"/>
    <w:uiPriority w:val="59"/>
    <w:rsid w:val="0045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2B"/>
    <w:rPr>
      <w:rFonts w:ascii="Segoe UI" w:hAnsi="Segoe UI" w:cs="Segoe UI"/>
      <w:sz w:val="18"/>
      <w:szCs w:val="18"/>
    </w:rPr>
  </w:style>
  <w:style w:type="character" w:customStyle="1" w:styleId="Heading2Char">
    <w:name w:val="Heading 2 Char"/>
    <w:basedOn w:val="DefaultParagraphFont"/>
    <w:link w:val="Heading2"/>
    <w:uiPriority w:val="9"/>
    <w:rsid w:val="0007471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7471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74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9950">
      <w:bodyDiv w:val="1"/>
      <w:marLeft w:val="0"/>
      <w:marRight w:val="0"/>
      <w:marTop w:val="0"/>
      <w:marBottom w:val="0"/>
      <w:divBdr>
        <w:top w:val="none" w:sz="0" w:space="0" w:color="auto"/>
        <w:left w:val="none" w:sz="0" w:space="0" w:color="auto"/>
        <w:bottom w:val="none" w:sz="0" w:space="0" w:color="auto"/>
        <w:right w:val="none" w:sz="0" w:space="0" w:color="auto"/>
      </w:divBdr>
      <w:divsChild>
        <w:div w:id="582372391">
          <w:marLeft w:val="0"/>
          <w:marRight w:val="0"/>
          <w:marTop w:val="0"/>
          <w:marBottom w:val="0"/>
          <w:divBdr>
            <w:top w:val="none" w:sz="0" w:space="0" w:color="auto"/>
            <w:left w:val="none" w:sz="0" w:space="0" w:color="auto"/>
            <w:bottom w:val="none" w:sz="0" w:space="0" w:color="auto"/>
            <w:right w:val="none" w:sz="0" w:space="0" w:color="auto"/>
          </w:divBdr>
        </w:div>
      </w:divsChild>
    </w:div>
    <w:div w:id="251671127">
      <w:bodyDiv w:val="1"/>
      <w:marLeft w:val="0"/>
      <w:marRight w:val="0"/>
      <w:marTop w:val="0"/>
      <w:marBottom w:val="0"/>
      <w:divBdr>
        <w:top w:val="none" w:sz="0" w:space="0" w:color="auto"/>
        <w:left w:val="none" w:sz="0" w:space="0" w:color="auto"/>
        <w:bottom w:val="none" w:sz="0" w:space="0" w:color="auto"/>
        <w:right w:val="none" w:sz="0" w:space="0" w:color="auto"/>
      </w:divBdr>
      <w:divsChild>
        <w:div w:id="1965430352">
          <w:marLeft w:val="0"/>
          <w:marRight w:val="0"/>
          <w:marTop w:val="0"/>
          <w:marBottom w:val="0"/>
          <w:divBdr>
            <w:top w:val="none" w:sz="0" w:space="0" w:color="auto"/>
            <w:left w:val="none" w:sz="0" w:space="0" w:color="auto"/>
            <w:bottom w:val="none" w:sz="0" w:space="0" w:color="auto"/>
            <w:right w:val="none" w:sz="0" w:space="0" w:color="auto"/>
          </w:divBdr>
          <w:divsChild>
            <w:div w:id="663319520">
              <w:marLeft w:val="0"/>
              <w:marRight w:val="0"/>
              <w:marTop w:val="0"/>
              <w:marBottom w:val="0"/>
              <w:divBdr>
                <w:top w:val="none" w:sz="0" w:space="0" w:color="auto"/>
                <w:left w:val="none" w:sz="0" w:space="0" w:color="auto"/>
                <w:bottom w:val="none" w:sz="0" w:space="0" w:color="auto"/>
                <w:right w:val="none" w:sz="0" w:space="0" w:color="auto"/>
              </w:divBdr>
              <w:divsChild>
                <w:div w:id="972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9376">
      <w:bodyDiv w:val="1"/>
      <w:marLeft w:val="0"/>
      <w:marRight w:val="0"/>
      <w:marTop w:val="0"/>
      <w:marBottom w:val="0"/>
      <w:divBdr>
        <w:top w:val="none" w:sz="0" w:space="0" w:color="auto"/>
        <w:left w:val="none" w:sz="0" w:space="0" w:color="auto"/>
        <w:bottom w:val="none" w:sz="0" w:space="0" w:color="auto"/>
        <w:right w:val="none" w:sz="0" w:space="0" w:color="auto"/>
      </w:divBdr>
    </w:div>
    <w:div w:id="842091786">
      <w:bodyDiv w:val="1"/>
      <w:marLeft w:val="0"/>
      <w:marRight w:val="0"/>
      <w:marTop w:val="0"/>
      <w:marBottom w:val="0"/>
      <w:divBdr>
        <w:top w:val="none" w:sz="0" w:space="0" w:color="auto"/>
        <w:left w:val="none" w:sz="0" w:space="0" w:color="auto"/>
        <w:bottom w:val="none" w:sz="0" w:space="0" w:color="auto"/>
        <w:right w:val="none" w:sz="0" w:space="0" w:color="auto"/>
      </w:divBdr>
    </w:div>
    <w:div w:id="1351495856">
      <w:bodyDiv w:val="1"/>
      <w:marLeft w:val="0"/>
      <w:marRight w:val="0"/>
      <w:marTop w:val="0"/>
      <w:marBottom w:val="0"/>
      <w:divBdr>
        <w:top w:val="none" w:sz="0" w:space="0" w:color="auto"/>
        <w:left w:val="none" w:sz="0" w:space="0" w:color="auto"/>
        <w:bottom w:val="none" w:sz="0" w:space="0" w:color="auto"/>
        <w:right w:val="none" w:sz="0" w:space="0" w:color="auto"/>
      </w:divBdr>
      <w:divsChild>
        <w:div w:id="1033576829">
          <w:marLeft w:val="0"/>
          <w:marRight w:val="0"/>
          <w:marTop w:val="0"/>
          <w:marBottom w:val="0"/>
          <w:divBdr>
            <w:top w:val="none" w:sz="0" w:space="0" w:color="auto"/>
            <w:left w:val="none" w:sz="0" w:space="0" w:color="auto"/>
            <w:bottom w:val="none" w:sz="0" w:space="0" w:color="auto"/>
            <w:right w:val="none" w:sz="0" w:space="0" w:color="auto"/>
          </w:divBdr>
          <w:divsChild>
            <w:div w:id="1108617864">
              <w:marLeft w:val="0"/>
              <w:marRight w:val="0"/>
              <w:marTop w:val="0"/>
              <w:marBottom w:val="0"/>
              <w:divBdr>
                <w:top w:val="none" w:sz="0" w:space="0" w:color="auto"/>
                <w:left w:val="none" w:sz="0" w:space="0" w:color="auto"/>
                <w:bottom w:val="none" w:sz="0" w:space="0" w:color="auto"/>
                <w:right w:val="none" w:sz="0" w:space="0" w:color="auto"/>
              </w:divBdr>
              <w:divsChild>
                <w:div w:id="6074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5279">
      <w:bodyDiv w:val="1"/>
      <w:marLeft w:val="0"/>
      <w:marRight w:val="0"/>
      <w:marTop w:val="0"/>
      <w:marBottom w:val="0"/>
      <w:divBdr>
        <w:top w:val="none" w:sz="0" w:space="0" w:color="auto"/>
        <w:left w:val="none" w:sz="0" w:space="0" w:color="auto"/>
        <w:bottom w:val="none" w:sz="0" w:space="0" w:color="auto"/>
        <w:right w:val="none" w:sz="0" w:space="0" w:color="auto"/>
      </w:divBdr>
      <w:divsChild>
        <w:div w:id="1320502693">
          <w:marLeft w:val="0"/>
          <w:marRight w:val="0"/>
          <w:marTop w:val="0"/>
          <w:marBottom w:val="0"/>
          <w:divBdr>
            <w:top w:val="none" w:sz="0" w:space="0" w:color="auto"/>
            <w:left w:val="none" w:sz="0" w:space="0" w:color="auto"/>
            <w:bottom w:val="none" w:sz="0" w:space="0" w:color="auto"/>
            <w:right w:val="none" w:sz="0" w:space="0" w:color="auto"/>
          </w:divBdr>
          <w:divsChild>
            <w:div w:id="739252391">
              <w:marLeft w:val="0"/>
              <w:marRight w:val="0"/>
              <w:marTop w:val="0"/>
              <w:marBottom w:val="0"/>
              <w:divBdr>
                <w:top w:val="none" w:sz="0" w:space="0" w:color="auto"/>
                <w:left w:val="none" w:sz="0" w:space="0" w:color="auto"/>
                <w:bottom w:val="none" w:sz="0" w:space="0" w:color="auto"/>
                <w:right w:val="none" w:sz="0" w:space="0" w:color="auto"/>
              </w:divBdr>
              <w:divsChild>
                <w:div w:id="189876730">
                  <w:marLeft w:val="0"/>
                  <w:marRight w:val="0"/>
                  <w:marTop w:val="0"/>
                  <w:marBottom w:val="0"/>
                  <w:divBdr>
                    <w:top w:val="none" w:sz="0" w:space="0" w:color="auto"/>
                    <w:left w:val="none" w:sz="0" w:space="0" w:color="auto"/>
                    <w:bottom w:val="none" w:sz="0" w:space="0" w:color="auto"/>
                    <w:right w:val="none" w:sz="0" w:space="0" w:color="auto"/>
                  </w:divBdr>
                  <w:divsChild>
                    <w:div w:id="1175148657">
                      <w:marLeft w:val="0"/>
                      <w:marRight w:val="0"/>
                      <w:marTop w:val="0"/>
                      <w:marBottom w:val="0"/>
                      <w:divBdr>
                        <w:top w:val="none" w:sz="0" w:space="0" w:color="auto"/>
                        <w:left w:val="none" w:sz="0" w:space="0" w:color="auto"/>
                        <w:bottom w:val="none" w:sz="0" w:space="0" w:color="auto"/>
                        <w:right w:val="none" w:sz="0" w:space="0" w:color="auto"/>
                      </w:divBdr>
                      <w:divsChild>
                        <w:div w:id="973633840">
                          <w:marLeft w:val="0"/>
                          <w:marRight w:val="0"/>
                          <w:marTop w:val="0"/>
                          <w:marBottom w:val="0"/>
                          <w:divBdr>
                            <w:top w:val="none" w:sz="0" w:space="0" w:color="auto"/>
                            <w:left w:val="none" w:sz="0" w:space="0" w:color="auto"/>
                            <w:bottom w:val="none" w:sz="0" w:space="0" w:color="auto"/>
                            <w:right w:val="none" w:sz="0" w:space="0" w:color="auto"/>
                          </w:divBdr>
                          <w:divsChild>
                            <w:div w:id="11834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karina mamedova</cp:lastModifiedBy>
  <cp:revision>3</cp:revision>
  <cp:lastPrinted>2015-03-04T06:47:00Z</cp:lastPrinted>
  <dcterms:created xsi:type="dcterms:W3CDTF">2015-03-04T09:17:00Z</dcterms:created>
  <dcterms:modified xsi:type="dcterms:W3CDTF">2015-03-04T09:18:00Z</dcterms:modified>
</cp:coreProperties>
</file>